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ind w:left="130" w:right="170" w:firstLine="77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p"/>
      <w:bookmarkEnd w:id="0"/>
      <w:r>
        <w:rPr>
          <w:rFonts w:ascii="Times New Roman" w:hAnsi="Times New Roman" w:eastAsia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Текстовая часть</w:t>
      </w:r>
    </w:p>
    <w:p>
      <w:pPr>
        <w:pStyle w:val="10"/>
        <w:suppressAutoHyphens/>
        <w:spacing w:beforeAutospacing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>
        <w:rPr>
          <w:rFonts w:eastAsia="Arial Unicode MS"/>
          <w:bCs/>
          <w:sz w:val="28"/>
          <w:szCs w:val="28"/>
          <w:lang w:val="ru" w:eastAsia="ar"/>
        </w:rPr>
        <w:t xml:space="preserve">Документация по внесению изменений в проект планировки территории квартала 385-А города Майкопа, утвержденного постановлением Администрации муниципального образования «Город Майкоп» от 20.09.2012 №799 и проекта межевания территории части квартала 385-А города Майкопа, ограниченной улицами Батарейной, Гаражной, проездом Складским, переулком Батарейным и земельным участком с кадастровым номером 01:08:0519002:1423 </w:t>
      </w:r>
      <w:r>
        <w:rPr>
          <w:rFonts w:eastAsia="Arial Unicode MS"/>
          <w:sz w:val="28"/>
          <w:szCs w:val="28"/>
          <w:lang w:val="ru" w:eastAsia="ar"/>
        </w:rPr>
        <w:t>(далее – документация, проект, проект межевания территории) выполнен в рамках реализации Градостроительного кодекса Российской Федерации.</w:t>
      </w:r>
    </w:p>
    <w:p>
      <w:pPr>
        <w:pStyle w:val="10"/>
        <w:suppressAutoHyphens/>
        <w:spacing w:beforeAutospacing="0" w:afterAutospacing="0"/>
        <w:ind w:firstLine="700"/>
        <w:contextualSpacing/>
        <w:jc w:val="both"/>
        <w:rPr>
          <w:rFonts w:eastAsia="Arial Unicode MS"/>
          <w:color w:val="auto"/>
          <w:sz w:val="28"/>
          <w:szCs w:val="28"/>
          <w:lang w:val="ru" w:eastAsia="ar"/>
        </w:rPr>
      </w:pPr>
      <w:r>
        <w:rPr>
          <w:rFonts w:eastAsia="Arial Unicode MS"/>
          <w:color w:val="auto"/>
          <w:sz w:val="28"/>
          <w:szCs w:val="28"/>
          <w:lang w:val="ru" w:eastAsia="ar"/>
        </w:rPr>
        <w:t>Подготовка проекта межевания территории осуществляется для:</w:t>
      </w:r>
    </w:p>
    <w:p>
      <w:pPr>
        <w:pStyle w:val="10"/>
        <w:numPr>
          <w:ilvl w:val="0"/>
          <w:numId w:val="1"/>
        </w:numPr>
        <w:suppressAutoHyphens/>
        <w:spacing w:before="0" w:beforeAutospacing="0" w:after="0" w:afterAutospacing="0"/>
        <w:ind w:left="0" w:firstLine="700"/>
        <w:contextualSpacing/>
        <w:jc w:val="both"/>
        <w:rPr>
          <w:rFonts w:eastAsia="Arial Unicode MS"/>
          <w:color w:val="auto"/>
          <w:sz w:val="28"/>
          <w:szCs w:val="28"/>
          <w:lang w:val="ru" w:eastAsia="ar"/>
        </w:rPr>
      </w:pPr>
      <w:r>
        <w:rPr>
          <w:rFonts w:eastAsia="Arial Unicode MS"/>
          <w:color w:val="auto"/>
          <w:sz w:val="28"/>
          <w:szCs w:val="28"/>
          <w:lang w:val="ru" w:eastAsia="ar"/>
        </w:rPr>
        <w:t>Изменения видов разрешенного использования земельных участков</w:t>
      </w:r>
      <w:r>
        <w:rPr>
          <w:rFonts w:eastAsia="Arial Unicode MS"/>
          <w:color w:val="auto"/>
          <w:sz w:val="28"/>
          <w:szCs w:val="28"/>
          <w:lang w:eastAsia="ar"/>
        </w:rPr>
        <w:t>;</w:t>
      </w:r>
    </w:p>
    <w:p>
      <w:pPr>
        <w:pStyle w:val="10"/>
        <w:numPr>
          <w:ilvl w:val="0"/>
          <w:numId w:val="1"/>
        </w:numPr>
        <w:suppressAutoHyphens/>
        <w:spacing w:before="0" w:beforeAutospacing="0" w:after="0" w:afterAutospacing="0"/>
        <w:ind w:left="0"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>
        <w:rPr>
          <w:rFonts w:eastAsia="Arial Unicode MS"/>
          <w:sz w:val="28"/>
          <w:szCs w:val="28"/>
          <w:lang w:val="ru-RU" w:eastAsia="ar"/>
        </w:rPr>
        <w:t>Изменения</w:t>
      </w:r>
      <w:r>
        <w:rPr>
          <w:rFonts w:hint="default" w:eastAsia="Arial Unicode MS"/>
          <w:sz w:val="28"/>
          <w:szCs w:val="28"/>
          <w:lang w:val="ru-RU" w:eastAsia="ar"/>
        </w:rPr>
        <w:t xml:space="preserve"> ранее установленных красных линий,</w:t>
      </w:r>
    </w:p>
    <w:p>
      <w:pPr>
        <w:pStyle w:val="10"/>
        <w:numPr>
          <w:ilvl w:val="0"/>
          <w:numId w:val="1"/>
        </w:numPr>
        <w:suppressAutoHyphens/>
        <w:spacing w:before="0" w:beforeAutospacing="0" w:after="0" w:afterAutospacing="0"/>
        <w:ind w:left="0"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>
        <w:rPr>
          <w:rFonts w:eastAsia="Arial Unicode MS"/>
          <w:sz w:val="28"/>
          <w:szCs w:val="28"/>
          <w:lang w:val="ru-RU" w:eastAsia="ar"/>
        </w:rPr>
        <w:t>У</w:t>
      </w:r>
      <w:r>
        <w:rPr>
          <w:rFonts w:eastAsia="Arial Unicode MS"/>
          <w:sz w:val="28"/>
          <w:szCs w:val="28"/>
          <w:lang w:val="ru" w:eastAsia="ar"/>
        </w:rPr>
        <w:t>становления линий отступа от красных линий</w:t>
      </w:r>
      <w:r>
        <w:rPr>
          <w:rFonts w:eastAsia="Arial Unicode MS"/>
          <w:sz w:val="28"/>
          <w:szCs w:val="28"/>
          <w:lang w:eastAsia="ar"/>
        </w:rPr>
        <w:t>;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>В данном проекте межевания территории отсутствуют проектируемые объекты федерального, регионального и местного значения.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>
        <w:rPr>
          <w:sz w:val="28"/>
          <w:szCs w:val="28"/>
          <w:lang w:val="ru"/>
        </w:rPr>
        <w:t xml:space="preserve">24,2 </w:t>
      </w:r>
      <w:r>
        <w:rPr>
          <w:color w:val="000000"/>
          <w:sz w:val="28"/>
          <w:szCs w:val="28"/>
          <w:lang w:val="ru"/>
        </w:rPr>
        <w:t>га.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color w:val="000000"/>
          <w:sz w:val="28"/>
          <w:szCs w:val="28"/>
          <w:lang w:val="ru"/>
        </w:rPr>
      </w:pPr>
      <w:r>
        <w:rPr>
          <w:color w:val="000000"/>
          <w:sz w:val="28"/>
          <w:szCs w:val="28"/>
          <w:lang w:val="ru"/>
        </w:rPr>
        <w:t xml:space="preserve">Межевание выполняется </w:t>
      </w:r>
      <w:r>
        <w:rPr>
          <w:color w:val="auto"/>
          <w:sz w:val="28"/>
          <w:szCs w:val="28"/>
          <w:lang w:val="ru"/>
        </w:rPr>
        <w:t>для частично</w:t>
      </w:r>
      <w:r>
        <w:rPr>
          <w:color w:val="FF0000"/>
          <w:sz w:val="28"/>
          <w:szCs w:val="28"/>
          <w:lang w:val="ru"/>
        </w:rPr>
        <w:t xml:space="preserve"> </w:t>
      </w:r>
      <w:r>
        <w:rPr>
          <w:color w:val="000000"/>
          <w:sz w:val="28"/>
          <w:szCs w:val="28"/>
          <w:lang w:val="ru"/>
        </w:rPr>
        <w:t>застроенной территории.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rFonts w:eastAsia="Arial Unicode MS"/>
          <w:bCs/>
          <w:sz w:val="28"/>
          <w:szCs w:val="28"/>
          <w:lang w:eastAsia="ar"/>
        </w:rPr>
      </w:pPr>
      <w:r>
        <w:rPr>
          <w:sz w:val="28"/>
          <w:szCs w:val="28"/>
          <w:lang w:val="ru"/>
        </w:rPr>
        <w:t>В основу данного проекта заложены материалы ранее разработанного проекта</w:t>
      </w:r>
      <w:r>
        <w:rPr>
          <w:rFonts w:eastAsia="Arial Unicode MS"/>
          <w:bCs/>
          <w:sz w:val="28"/>
          <w:szCs w:val="28"/>
          <w:lang w:val="ru" w:eastAsia="ar"/>
        </w:rPr>
        <w:t xml:space="preserve"> планировки</w:t>
      </w:r>
      <w:r>
        <w:rPr>
          <w:rFonts w:eastAsia="Arial Unicode MS"/>
          <w:bCs/>
          <w:color w:val="auto"/>
          <w:sz w:val="28"/>
          <w:szCs w:val="28"/>
          <w:lang w:val="ru" w:eastAsia="ar"/>
        </w:rPr>
        <w:t xml:space="preserve"> территории квартала 385-А города Майкопа, утвержденного постановлением Администрации муниципального образования «Город Майкоп» от 20.09.2012 №799.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"/>
        </w:rPr>
        <w:t xml:space="preserve">Проектируемая территория </w:t>
      </w:r>
      <w:r>
        <w:rPr>
          <w:color w:val="000000"/>
          <w:sz w:val="28"/>
          <w:szCs w:val="28"/>
        </w:rPr>
        <w:t>не граничит с территорией, в отношении которой</w:t>
      </w:r>
      <w:r>
        <w:rPr>
          <w:color w:val="000000"/>
          <w:sz w:val="28"/>
          <w:szCs w:val="28"/>
          <w:lang w:val="ru"/>
        </w:rPr>
        <w:t xml:space="preserve"> утвержден проект межевания</w:t>
      </w:r>
      <w:r>
        <w:rPr>
          <w:color w:val="000000"/>
          <w:sz w:val="28"/>
          <w:szCs w:val="28"/>
        </w:rPr>
        <w:t xml:space="preserve">. </w:t>
      </w:r>
      <w:bookmarkStart w:id="3" w:name="_GoBack"/>
      <w:bookmarkEnd w:id="3"/>
    </w:p>
    <w:p>
      <w:pPr>
        <w:pStyle w:val="10"/>
        <w:suppressAutoHyphens/>
        <w:spacing w:beforeAutospacing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>
        <w:rPr>
          <w:rFonts w:eastAsia="Arial Unicode MS"/>
          <w:sz w:val="28"/>
          <w:szCs w:val="28"/>
          <w:lang w:val="ru" w:eastAsia="ar"/>
        </w:rPr>
        <w:t xml:space="preserve">Границ зон действия публичных сервитутов на проектируемой территории нет. 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rFonts w:eastAsia="Arial Unicode MS"/>
          <w:sz w:val="28"/>
          <w:szCs w:val="28"/>
          <w:lang w:val="ru" w:eastAsia="ar"/>
        </w:rPr>
      </w:pPr>
      <w:r>
        <w:rPr>
          <w:rFonts w:eastAsia="Arial Unicode MS"/>
          <w:sz w:val="28"/>
          <w:szCs w:val="28"/>
          <w:lang w:val="ru" w:eastAsia="ar"/>
        </w:rPr>
        <w:t>В соответствии со сведениями Генерального плана муниципального образования «Город Майкоп», утвержденного Решением Совета народных депутатов муниципального образования «Город Майкоп» от 30.12.2010 № 310-рс, территория проектирования расположена в границах горного отвода Майкопского месторождения минеральных вод, также частично территория расположена в границах санитарно-защитных зон предприятий, сооружений и иных объектов.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"/>
        </w:rPr>
        <w:t xml:space="preserve">Проектируемая территория расположена в </w:t>
      </w:r>
      <w:r>
        <w:rPr>
          <w:rFonts w:eastAsia="Arial Unicode MS"/>
          <w:bCs/>
          <w:sz w:val="28"/>
          <w:szCs w:val="28"/>
          <w:lang w:val="ru" w:eastAsia="ar"/>
        </w:rPr>
        <w:t>городе Майкопе</w:t>
      </w:r>
      <w:r>
        <w:rPr>
          <w:rFonts w:eastAsia="Arial Unicode MS"/>
          <w:bCs/>
          <w:sz w:val="28"/>
          <w:szCs w:val="28"/>
          <w:lang w:eastAsia="ar"/>
        </w:rPr>
        <w:t>.</w:t>
      </w:r>
    </w:p>
    <w:p>
      <w:pPr>
        <w:pStyle w:val="10"/>
        <w:spacing w:beforeAutospacing="0" w:after="0" w:afterAutospacing="0"/>
        <w:ind w:firstLine="700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"/>
        </w:rPr>
        <w:t>В данном проекте межевания указаны красные линии кварталов в пределах территории проектирования</w:t>
      </w:r>
      <w:r>
        <w:rPr>
          <w:rFonts w:hint="default"/>
          <w:sz w:val="28"/>
          <w:szCs w:val="28"/>
          <w:lang w:val="ru-RU"/>
        </w:rPr>
        <w:t>.</w:t>
      </w:r>
    </w:p>
    <w:p>
      <w:pPr>
        <w:pStyle w:val="10"/>
        <w:spacing w:before="0" w:beforeAutospacing="0" w:after="0" w:afterAutospacing="0"/>
        <w:ind w:firstLine="697"/>
        <w:contextualSpacing/>
        <w:jc w:val="both"/>
        <w:rPr>
          <w:rFonts w:hint="default"/>
          <w:sz w:val="28"/>
          <w:szCs w:val="28"/>
          <w:lang w:val="ru-RU" w:eastAsia="zh-CN" w:bidi="ar"/>
        </w:rPr>
      </w:pPr>
      <w:r>
        <w:rPr>
          <w:rFonts w:cs="Times New Roman"/>
          <w:color w:val="auto"/>
          <w:sz w:val="28"/>
          <w:szCs w:val="28"/>
          <w:lang w:val="ru-RU"/>
        </w:rPr>
        <w:t>Проектом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межевания предусматривается изменение вида разрешенного использования земельного участка с кадастровым номером </w:t>
      </w:r>
      <w:r>
        <w:rPr>
          <w:sz w:val="28"/>
          <w:szCs w:val="28"/>
          <w:lang w:val="ru" w:eastAsia="zh-CN" w:bidi="ar"/>
        </w:rPr>
        <w:t xml:space="preserve"> 01:08:0519002:921</w:t>
      </w:r>
      <w:r>
        <w:rPr>
          <w:rFonts w:hint="default"/>
          <w:sz w:val="28"/>
          <w:szCs w:val="28"/>
          <w:lang w:val="ru-RU" w:eastAsia="zh-CN" w:bidi="ar"/>
        </w:rPr>
        <w:t xml:space="preserve"> площадью 738,8м2 - [4.9.1] – Объекты придорожного сервиса; земельного участка с кадастровым номером </w:t>
      </w:r>
      <w:r>
        <w:rPr>
          <w:rFonts w:ascii="Times New Roman" w:hAnsi="Times New Roman" w:eastAsia="Calibri" w:cs="Times New Roman"/>
          <w:sz w:val="28"/>
          <w:szCs w:val="28"/>
        </w:rPr>
        <w:t>01:08:0519002:912</w:t>
      </w:r>
      <w:r>
        <w:rPr>
          <w:rFonts w:hint="default" w:eastAsia="Calibri" w:cs="Times New Roman"/>
          <w:sz w:val="28"/>
          <w:szCs w:val="28"/>
          <w:lang w:val="ru-RU"/>
        </w:rPr>
        <w:t xml:space="preserve"> площадью 1500,0 м2 </w:t>
      </w:r>
      <w:r>
        <w:rPr>
          <w:rFonts w:ascii="Times New Roman" w:hAnsi="Times New Roman" w:eastAsia="SimSun" w:cs="Times New Roman"/>
          <w:sz w:val="28"/>
          <w:szCs w:val="28"/>
          <w:lang w:eastAsia="zh-CN"/>
        </w:rPr>
        <w:t>[6.0] – Производственная деятельность</w:t>
      </w:r>
      <w:r>
        <w:rPr>
          <w:rFonts w:hint="default" w:eastAsia="SimSun" w:cs="Times New Roman"/>
          <w:sz w:val="28"/>
          <w:szCs w:val="28"/>
          <w:lang w:val="ru-RU" w:eastAsia="zh-CN"/>
        </w:rPr>
        <w:t xml:space="preserve">; </w:t>
      </w:r>
      <w:r>
        <w:rPr>
          <w:rFonts w:hint="default"/>
          <w:sz w:val="28"/>
          <w:szCs w:val="28"/>
          <w:lang w:val="ru-RU" w:eastAsia="zh-CN" w:bidi="ar"/>
        </w:rPr>
        <w:t xml:space="preserve">земельного участка с кадастровым номером </w:t>
      </w:r>
      <w:r>
        <w:rPr>
          <w:rFonts w:ascii="Times New Roman" w:hAnsi="Times New Roman" w:eastAsia="Calibri" w:cs="Times New Roman"/>
          <w:sz w:val="28"/>
          <w:szCs w:val="28"/>
        </w:rPr>
        <w:t>01:08:0519002:41</w:t>
      </w:r>
      <w:r>
        <w:rPr>
          <w:rFonts w:hint="default" w:eastAsia="Calibri" w:cs="Times New Roman"/>
          <w:sz w:val="28"/>
          <w:szCs w:val="28"/>
          <w:lang w:val="ru-RU"/>
        </w:rPr>
        <w:t xml:space="preserve"> площадью </w:t>
      </w:r>
      <w:r>
        <w:rPr>
          <w:rFonts w:ascii="Times New Roman" w:hAnsi="Times New Roman" w:eastAsia="Calibri" w:cs="Times New Roman"/>
          <w:sz w:val="28"/>
          <w:szCs w:val="28"/>
        </w:rPr>
        <w:t>870,0</w:t>
      </w:r>
      <w:r>
        <w:rPr>
          <w:rFonts w:eastAsia="Calibri" w:cs="Times New Roman"/>
          <w:sz w:val="28"/>
          <w:szCs w:val="28"/>
          <w:lang w:val="ru-RU"/>
        </w:rPr>
        <w:t>м</w:t>
      </w:r>
      <w:r>
        <w:rPr>
          <w:rFonts w:hint="default" w:eastAsia="Calibri" w:cs="Times New Roman"/>
          <w:sz w:val="28"/>
          <w:szCs w:val="28"/>
          <w:lang w:val="ru-RU"/>
        </w:rPr>
        <w:t xml:space="preserve">2 - </w:t>
      </w:r>
      <w:r>
        <w:rPr>
          <w:rFonts w:ascii="Times New Roman" w:hAnsi="Times New Roman" w:eastAsia="SimSun" w:cs="Times New Roman"/>
          <w:sz w:val="28"/>
          <w:szCs w:val="28"/>
          <w:lang w:eastAsia="zh-CN"/>
        </w:rPr>
        <w:t>[2.7.1] – Хранение автотранспорта</w:t>
      </w:r>
      <w:r>
        <w:rPr>
          <w:rFonts w:hint="default" w:eastAsia="SimSun" w:cs="Times New Roman"/>
          <w:sz w:val="28"/>
          <w:szCs w:val="28"/>
          <w:lang w:val="ru-RU" w:eastAsia="zh-CN"/>
        </w:rPr>
        <w:t>.</w:t>
      </w:r>
    </w:p>
    <w:p>
      <w:pPr>
        <w:pStyle w:val="10"/>
        <w:spacing w:before="0" w:beforeAutospacing="0" w:after="0" w:afterAutospacing="0"/>
        <w:ind w:firstLine="697"/>
        <w:contextualSpacing/>
        <w:jc w:val="both"/>
        <w:rPr>
          <w:rFonts w:hint="default"/>
          <w:sz w:val="28"/>
          <w:szCs w:val="28"/>
          <w:lang w:val="ru-RU" w:eastAsia="zh-CN" w:bidi="ar"/>
        </w:rPr>
      </w:pPr>
    </w:p>
    <w:p>
      <w:pPr>
        <w:pStyle w:val="18"/>
        <w:spacing w:after="0" w:line="240" w:lineRule="auto"/>
        <w:ind w:left="0" w:firstLine="700"/>
        <w:jc w:val="both"/>
        <w:rPr>
          <w:rFonts w:ascii="Times New Roman" w:hAnsi="Times New Roman" w:eastAsia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"/>
        </w:rPr>
        <w:t>Таблица. Экспликация изменяемых и образуемых земельных участков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410"/>
        <w:gridCol w:w="1509"/>
        <w:gridCol w:w="1491"/>
        <w:gridCol w:w="3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№</w:t>
            </w:r>
          </w:p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п/п</w:t>
            </w:r>
          </w:p>
        </w:tc>
        <w:tc>
          <w:tcPr>
            <w:tcW w:w="1604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Номер</w:t>
            </w:r>
          </w:p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земельного </w:t>
            </w:r>
          </w:p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участка на чертеже</w:t>
            </w:r>
          </w:p>
        </w:tc>
        <w:tc>
          <w:tcPr>
            <w:tcW w:w="175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Территориальная зона </w:t>
            </w:r>
          </w:p>
        </w:tc>
        <w:tc>
          <w:tcPr>
            <w:tcW w:w="1519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Площадь, м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825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01:08:0519002:921</w:t>
            </w:r>
          </w:p>
        </w:tc>
        <w:tc>
          <w:tcPr>
            <w:tcW w:w="175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П-5</w:t>
            </w:r>
          </w:p>
        </w:tc>
        <w:tc>
          <w:tcPr>
            <w:tcW w:w="1519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738,8</w:t>
            </w:r>
          </w:p>
        </w:tc>
        <w:tc>
          <w:tcPr>
            <w:tcW w:w="3825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zh-CN"/>
              </w:rPr>
              <w:t>[4.9.1] – Объекты придорожного сервиса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01:08:0519002:912</w:t>
            </w:r>
          </w:p>
        </w:tc>
        <w:tc>
          <w:tcPr>
            <w:tcW w:w="175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П-5</w:t>
            </w:r>
          </w:p>
        </w:tc>
        <w:tc>
          <w:tcPr>
            <w:tcW w:w="1519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1500,0</w:t>
            </w:r>
          </w:p>
        </w:tc>
        <w:tc>
          <w:tcPr>
            <w:tcW w:w="3825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zh-CN"/>
              </w:rPr>
              <w:t>[6.0] – Производственная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01:08:0519002:41</w:t>
            </w:r>
          </w:p>
        </w:tc>
        <w:tc>
          <w:tcPr>
            <w:tcW w:w="1758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П-5</w:t>
            </w:r>
          </w:p>
        </w:tc>
        <w:tc>
          <w:tcPr>
            <w:tcW w:w="1519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870,0</w:t>
            </w:r>
          </w:p>
        </w:tc>
        <w:tc>
          <w:tcPr>
            <w:tcW w:w="3825" w:type="dxa"/>
            <w:shd w:val="clear" w:color="auto" w:fill="auto"/>
          </w:tcPr>
          <w:p>
            <w:pPr>
              <w:contextualSpacing/>
              <w:jc w:val="both"/>
              <w:rPr>
                <w:rFonts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SimSun" w:cs="Times New Roman"/>
                <w:sz w:val="28"/>
                <w:szCs w:val="28"/>
                <w:lang w:eastAsia="zh-CN"/>
              </w:rPr>
              <w:t>[2.7.1] – Хранение автотранспорта</w:t>
            </w:r>
          </w:p>
        </w:tc>
      </w:tr>
    </w:tbl>
    <w:p>
      <w:pPr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Проектируемая территория находится в территориальной зоне предприятий, производств и объектов V класса опасности СЗЗ-50 м. П-5.</w:t>
      </w:r>
    </w:p>
    <w:p>
      <w:pPr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Зона П-5 выделена для обеспечения правовых условий формирования предприятий, производств и объектов V класса опасности,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 </w:t>
      </w:r>
    </w:p>
    <w:p>
      <w:pPr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99029807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[6.0] - Производственная деятельность:</w:t>
      </w:r>
    </w:p>
    <w:bookmarkEnd w:id="1"/>
    <w:p>
      <w:pPr>
        <w:pStyle w:val="12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минимальная/максимальная площадь земельных участков - 500 кв. м/500000 кв. м;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минимальная ширина земельных участков вдоль фронта улицы (проезда) - 20 м; 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минимальные отступы от границ земельных участков - 6 м;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максимальное количество надземных этажей зданий - 7 этажа (включая мансардный этаж); 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right="17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максимальный процент застройки в границах земельного участка - 75%; 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right="170" w:firstLine="709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максимальная высота зданий, строений, сооружений от уровня земли - 30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[4.9.1] – Объекты придорожного сервиса: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минимальная/максимальная площадь земельных участков - 500/3500 кв.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минимальная ширина земельных участков вдоль фронта улицы (проезда) - 25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t xml:space="preserve"> ·     </w:t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максимальная высота зданий, строений, сооружений от уровня земли - 10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       максимальный процент застройки в границах земельного участка - 80%;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 xml:space="preserve">·      минимальные отступы от границ земельных участков - 3 м. 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[2.7.1] - Хранение автотранспорта: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2" w:name="_Hlk99030106"/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bookmarkEnd w:id="2"/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 xml:space="preserve">  минимальная/максимальная площадь земельных участков - не устанавливать/100000 кв.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  минимальная ширина земельных участков вдоль фронта улицы (проезда) - 10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    минимальные отступы от границ земельных участков - 3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  максимальная высота зданий, строений, сооружений от уровня земли - 10 м;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·    максимальный процент застройки в границах земельного участка - 80%;</w:t>
      </w:r>
    </w:p>
    <w:p>
      <w:pPr>
        <w:pStyle w:val="12"/>
        <w:spacing w:before="100" w:beforeAutospacing="1" w:after="0" w:line="240" w:lineRule="auto"/>
        <w:ind w:left="709" w:right="170"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pStyle w:val="17"/>
        <w:ind w:right="170"/>
        <w:contextualSpacing/>
        <w:jc w:val="both"/>
        <w:rPr>
          <w:rStyle w:val="1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Style w:val="1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Каталог координат </w:t>
      </w:r>
      <w:r>
        <w:rPr>
          <w:rStyle w:val="1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красных</w:t>
      </w:r>
      <w:r>
        <w:rPr>
          <w:rStyle w:val="16"/>
          <w:rFonts w:hint="default"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линий</w:t>
      </w:r>
      <w:r>
        <w:rPr>
          <w:rStyle w:val="1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приведен в Приложении 1.</w:t>
      </w:r>
    </w:p>
    <w:p>
      <w:pPr>
        <w:pStyle w:val="17"/>
        <w:ind w:right="170"/>
        <w:contextualSpacing/>
        <w:jc w:val="both"/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2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709" w:right="850" w:bottom="1134" w:left="1701" w:header="708" w:footer="17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80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tabs>
              <w:tab w:val="left" w:pos="1384"/>
            </w:tabs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9"/>
            <w:ind w:left="39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9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E62E2"/>
    <w:multiLevelType w:val="multilevel"/>
    <w:tmpl w:val="012E62E2"/>
    <w:lvl w:ilvl="0" w:tentative="0">
      <w:start w:val="0"/>
      <w:numFmt w:val="bullet"/>
      <w:lvlText w:val="·"/>
      <w:lvlJc w:val="left"/>
      <w:pPr>
        <w:ind w:left="2062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3183E956"/>
    <w:multiLevelType w:val="multilevel"/>
    <w:tmpl w:val="3183E956"/>
    <w:lvl w:ilvl="0" w:tentative="0">
      <w:start w:val="1"/>
      <w:numFmt w:val="decimal"/>
      <w:lvlText w:val="%1)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465"/>
    <w:rsid w:val="00000782"/>
    <w:rsid w:val="0001111A"/>
    <w:rsid w:val="00014543"/>
    <w:rsid w:val="00014544"/>
    <w:rsid w:val="00023961"/>
    <w:rsid w:val="00033715"/>
    <w:rsid w:val="00041193"/>
    <w:rsid w:val="00041D88"/>
    <w:rsid w:val="000451B4"/>
    <w:rsid w:val="000478B4"/>
    <w:rsid w:val="00050A77"/>
    <w:rsid w:val="00074B4A"/>
    <w:rsid w:val="00090BDA"/>
    <w:rsid w:val="000973CA"/>
    <w:rsid w:val="000C1D9C"/>
    <w:rsid w:val="000D0BDC"/>
    <w:rsid w:val="000E0C2E"/>
    <w:rsid w:val="000F1D06"/>
    <w:rsid w:val="00110906"/>
    <w:rsid w:val="00132B9A"/>
    <w:rsid w:val="00132BB5"/>
    <w:rsid w:val="00137163"/>
    <w:rsid w:val="00153E0B"/>
    <w:rsid w:val="001543E4"/>
    <w:rsid w:val="00160FDE"/>
    <w:rsid w:val="001610DC"/>
    <w:rsid w:val="00172A27"/>
    <w:rsid w:val="00187CDE"/>
    <w:rsid w:val="001C7E7E"/>
    <w:rsid w:val="001D435F"/>
    <w:rsid w:val="001E1446"/>
    <w:rsid w:val="001E25D9"/>
    <w:rsid w:val="002015BB"/>
    <w:rsid w:val="00251415"/>
    <w:rsid w:val="0025185D"/>
    <w:rsid w:val="0025637F"/>
    <w:rsid w:val="002616F1"/>
    <w:rsid w:val="0026197A"/>
    <w:rsid w:val="00261C86"/>
    <w:rsid w:val="002639F4"/>
    <w:rsid w:val="002673EA"/>
    <w:rsid w:val="002762BD"/>
    <w:rsid w:val="0027643E"/>
    <w:rsid w:val="00280B64"/>
    <w:rsid w:val="002C1589"/>
    <w:rsid w:val="002C35CA"/>
    <w:rsid w:val="002F6CF0"/>
    <w:rsid w:val="002F7F7A"/>
    <w:rsid w:val="00321E81"/>
    <w:rsid w:val="00333F3C"/>
    <w:rsid w:val="003561D1"/>
    <w:rsid w:val="00360201"/>
    <w:rsid w:val="003607A7"/>
    <w:rsid w:val="00360A37"/>
    <w:rsid w:val="00361412"/>
    <w:rsid w:val="0037148A"/>
    <w:rsid w:val="00396B8D"/>
    <w:rsid w:val="003A57DA"/>
    <w:rsid w:val="003A5E14"/>
    <w:rsid w:val="003D0549"/>
    <w:rsid w:val="003D578A"/>
    <w:rsid w:val="003E131F"/>
    <w:rsid w:val="003E2BA0"/>
    <w:rsid w:val="003F1A25"/>
    <w:rsid w:val="00427B4A"/>
    <w:rsid w:val="00443DAE"/>
    <w:rsid w:val="00445230"/>
    <w:rsid w:val="00446294"/>
    <w:rsid w:val="00453380"/>
    <w:rsid w:val="004539C9"/>
    <w:rsid w:val="00454658"/>
    <w:rsid w:val="004611EB"/>
    <w:rsid w:val="00464B44"/>
    <w:rsid w:val="004656EA"/>
    <w:rsid w:val="00465F7F"/>
    <w:rsid w:val="004661E7"/>
    <w:rsid w:val="004679A3"/>
    <w:rsid w:val="00493CD8"/>
    <w:rsid w:val="004A0FDB"/>
    <w:rsid w:val="004C3132"/>
    <w:rsid w:val="004D7C31"/>
    <w:rsid w:val="004E144E"/>
    <w:rsid w:val="004E74A3"/>
    <w:rsid w:val="00507BAB"/>
    <w:rsid w:val="00527524"/>
    <w:rsid w:val="00536C16"/>
    <w:rsid w:val="00546681"/>
    <w:rsid w:val="00554A4F"/>
    <w:rsid w:val="00557655"/>
    <w:rsid w:val="00570778"/>
    <w:rsid w:val="00585E9B"/>
    <w:rsid w:val="005B0553"/>
    <w:rsid w:val="005B2BB1"/>
    <w:rsid w:val="005C00E3"/>
    <w:rsid w:val="005D076F"/>
    <w:rsid w:val="005D1B54"/>
    <w:rsid w:val="005D4511"/>
    <w:rsid w:val="005D6547"/>
    <w:rsid w:val="005E0174"/>
    <w:rsid w:val="005E15BE"/>
    <w:rsid w:val="005E28E4"/>
    <w:rsid w:val="006128F2"/>
    <w:rsid w:val="00633061"/>
    <w:rsid w:val="00633086"/>
    <w:rsid w:val="00645C40"/>
    <w:rsid w:val="00650326"/>
    <w:rsid w:val="00651B91"/>
    <w:rsid w:val="00690453"/>
    <w:rsid w:val="00691F2B"/>
    <w:rsid w:val="006A5E2A"/>
    <w:rsid w:val="006B02A2"/>
    <w:rsid w:val="006C2F21"/>
    <w:rsid w:val="006D48AE"/>
    <w:rsid w:val="006E56EF"/>
    <w:rsid w:val="006F1737"/>
    <w:rsid w:val="007007BD"/>
    <w:rsid w:val="00702E34"/>
    <w:rsid w:val="00725A35"/>
    <w:rsid w:val="00726CCC"/>
    <w:rsid w:val="0073169E"/>
    <w:rsid w:val="00733DF1"/>
    <w:rsid w:val="00743EC6"/>
    <w:rsid w:val="0075108A"/>
    <w:rsid w:val="00761C19"/>
    <w:rsid w:val="00766FF3"/>
    <w:rsid w:val="007723B3"/>
    <w:rsid w:val="007939E1"/>
    <w:rsid w:val="007B789D"/>
    <w:rsid w:val="007C7FFC"/>
    <w:rsid w:val="007D12C0"/>
    <w:rsid w:val="007F519D"/>
    <w:rsid w:val="00800433"/>
    <w:rsid w:val="00803610"/>
    <w:rsid w:val="00804B2D"/>
    <w:rsid w:val="00812C55"/>
    <w:rsid w:val="00820A6B"/>
    <w:rsid w:val="00824A95"/>
    <w:rsid w:val="0084298F"/>
    <w:rsid w:val="00847E32"/>
    <w:rsid w:val="0086434A"/>
    <w:rsid w:val="00866A7A"/>
    <w:rsid w:val="008866A0"/>
    <w:rsid w:val="0088723F"/>
    <w:rsid w:val="008939D6"/>
    <w:rsid w:val="008949E0"/>
    <w:rsid w:val="008A2976"/>
    <w:rsid w:val="008A6EEB"/>
    <w:rsid w:val="008A7B4D"/>
    <w:rsid w:val="008B4BDD"/>
    <w:rsid w:val="008C2472"/>
    <w:rsid w:val="008C692C"/>
    <w:rsid w:val="008D1E82"/>
    <w:rsid w:val="008F19E1"/>
    <w:rsid w:val="008F2A4D"/>
    <w:rsid w:val="009040E3"/>
    <w:rsid w:val="009165AA"/>
    <w:rsid w:val="00931D7C"/>
    <w:rsid w:val="00936BA3"/>
    <w:rsid w:val="00947EC9"/>
    <w:rsid w:val="00950836"/>
    <w:rsid w:val="009572B1"/>
    <w:rsid w:val="00962A2E"/>
    <w:rsid w:val="009633D2"/>
    <w:rsid w:val="00974A9B"/>
    <w:rsid w:val="009842D0"/>
    <w:rsid w:val="0098683F"/>
    <w:rsid w:val="009A01CE"/>
    <w:rsid w:val="009A31BA"/>
    <w:rsid w:val="009A3866"/>
    <w:rsid w:val="009A5BE1"/>
    <w:rsid w:val="009B4F0A"/>
    <w:rsid w:val="009C3EDB"/>
    <w:rsid w:val="009D278E"/>
    <w:rsid w:val="009D63F5"/>
    <w:rsid w:val="009E6F01"/>
    <w:rsid w:val="00A0051F"/>
    <w:rsid w:val="00A016E5"/>
    <w:rsid w:val="00A25D7F"/>
    <w:rsid w:val="00A34F10"/>
    <w:rsid w:val="00A44FF6"/>
    <w:rsid w:val="00A706F4"/>
    <w:rsid w:val="00A87954"/>
    <w:rsid w:val="00A96132"/>
    <w:rsid w:val="00AA5EB8"/>
    <w:rsid w:val="00AB07B3"/>
    <w:rsid w:val="00AB2F33"/>
    <w:rsid w:val="00AD68F4"/>
    <w:rsid w:val="00AD7ACE"/>
    <w:rsid w:val="00AE1A07"/>
    <w:rsid w:val="00AE555A"/>
    <w:rsid w:val="00B12DFC"/>
    <w:rsid w:val="00B17EC4"/>
    <w:rsid w:val="00B226E9"/>
    <w:rsid w:val="00B236E0"/>
    <w:rsid w:val="00B27090"/>
    <w:rsid w:val="00B53F27"/>
    <w:rsid w:val="00B555CA"/>
    <w:rsid w:val="00B57A6C"/>
    <w:rsid w:val="00B835A3"/>
    <w:rsid w:val="00B8364A"/>
    <w:rsid w:val="00B90565"/>
    <w:rsid w:val="00B97378"/>
    <w:rsid w:val="00BA7ADF"/>
    <w:rsid w:val="00BB5A8E"/>
    <w:rsid w:val="00BC6A05"/>
    <w:rsid w:val="00BE3AF5"/>
    <w:rsid w:val="00BF05C7"/>
    <w:rsid w:val="00BF396C"/>
    <w:rsid w:val="00C10570"/>
    <w:rsid w:val="00C27BF7"/>
    <w:rsid w:val="00C3123E"/>
    <w:rsid w:val="00C31477"/>
    <w:rsid w:val="00C36C51"/>
    <w:rsid w:val="00C44997"/>
    <w:rsid w:val="00C71D23"/>
    <w:rsid w:val="00C76E58"/>
    <w:rsid w:val="00C8339E"/>
    <w:rsid w:val="00C8456E"/>
    <w:rsid w:val="00C919A8"/>
    <w:rsid w:val="00C92EFB"/>
    <w:rsid w:val="00CB5EB0"/>
    <w:rsid w:val="00CD6827"/>
    <w:rsid w:val="00CE0F58"/>
    <w:rsid w:val="00CE31B8"/>
    <w:rsid w:val="00D03FC1"/>
    <w:rsid w:val="00D664E1"/>
    <w:rsid w:val="00D864B8"/>
    <w:rsid w:val="00D93D63"/>
    <w:rsid w:val="00DB15F4"/>
    <w:rsid w:val="00DB72A6"/>
    <w:rsid w:val="00DD0A15"/>
    <w:rsid w:val="00DE2D4D"/>
    <w:rsid w:val="00DF5316"/>
    <w:rsid w:val="00E00A99"/>
    <w:rsid w:val="00E00E31"/>
    <w:rsid w:val="00E1528A"/>
    <w:rsid w:val="00E23D99"/>
    <w:rsid w:val="00E27A76"/>
    <w:rsid w:val="00E417C1"/>
    <w:rsid w:val="00E61D73"/>
    <w:rsid w:val="00E80C19"/>
    <w:rsid w:val="00E82EC9"/>
    <w:rsid w:val="00E86545"/>
    <w:rsid w:val="00E912EC"/>
    <w:rsid w:val="00EA4FEB"/>
    <w:rsid w:val="00EC4E6E"/>
    <w:rsid w:val="00EE1718"/>
    <w:rsid w:val="00EE6AD4"/>
    <w:rsid w:val="00F02255"/>
    <w:rsid w:val="00F0417F"/>
    <w:rsid w:val="00F236FF"/>
    <w:rsid w:val="00F23DEC"/>
    <w:rsid w:val="00F2429B"/>
    <w:rsid w:val="00F313D2"/>
    <w:rsid w:val="00F3542B"/>
    <w:rsid w:val="00F35988"/>
    <w:rsid w:val="00F45C21"/>
    <w:rsid w:val="00F46284"/>
    <w:rsid w:val="00F92CE1"/>
    <w:rsid w:val="00FA6C2A"/>
    <w:rsid w:val="00FB16F4"/>
    <w:rsid w:val="00FB4102"/>
    <w:rsid w:val="00FD4FE1"/>
    <w:rsid w:val="00FD5B98"/>
    <w:rsid w:val="00FE262A"/>
    <w:rsid w:val="00FE2926"/>
    <w:rsid w:val="00FF35A4"/>
    <w:rsid w:val="08DD2392"/>
    <w:rsid w:val="09350860"/>
    <w:rsid w:val="0BAC5B25"/>
    <w:rsid w:val="0C5558D2"/>
    <w:rsid w:val="0D9652B6"/>
    <w:rsid w:val="0FEE4659"/>
    <w:rsid w:val="15025ACE"/>
    <w:rsid w:val="168A2190"/>
    <w:rsid w:val="1F8834E5"/>
    <w:rsid w:val="25217CEE"/>
    <w:rsid w:val="28C01384"/>
    <w:rsid w:val="2F920F90"/>
    <w:rsid w:val="3D7F45E1"/>
    <w:rsid w:val="3DBA5245"/>
    <w:rsid w:val="4C152D23"/>
    <w:rsid w:val="4F6F40ED"/>
    <w:rsid w:val="50C77970"/>
    <w:rsid w:val="51ED4A08"/>
    <w:rsid w:val="576C2C81"/>
    <w:rsid w:val="5BDF4120"/>
    <w:rsid w:val="5E25524D"/>
    <w:rsid w:val="5E9032AE"/>
    <w:rsid w:val="616815AB"/>
    <w:rsid w:val="61A05A4E"/>
    <w:rsid w:val="61BF0802"/>
    <w:rsid w:val="65404D10"/>
    <w:rsid w:val="6A1F6B14"/>
    <w:rsid w:val="70721355"/>
    <w:rsid w:val="72E14D4E"/>
    <w:rsid w:val="7C57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Autospacing="1" w:afterAutospacing="1"/>
      <w:outlineLvl w:val="1"/>
    </w:pPr>
    <w:rPr>
      <w:rFonts w:hint="eastAsia" w:ascii="SimSun" w:hAnsi="SimSun" w:eastAsia="SimSun" w:cs="Times New Roman"/>
      <w:b/>
      <w:bCs/>
      <w:i/>
      <w:iCs/>
      <w:sz w:val="36"/>
      <w:szCs w:val="36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"/>
    <w:basedOn w:val="3"/>
    <w:link w:val="8"/>
    <w:qFormat/>
    <w:uiPriority w:val="99"/>
  </w:style>
  <w:style w:type="character" w:customStyle="1" w:styleId="15">
    <w:name w:val="Нижний колонтитул Знак"/>
    <w:basedOn w:val="3"/>
    <w:link w:val="9"/>
    <w:qFormat/>
    <w:uiPriority w:val="99"/>
  </w:style>
  <w:style w:type="character" w:customStyle="1" w:styleId="16">
    <w:name w:val="Основной шрифт абзаца2"/>
    <w:qFormat/>
    <w:uiPriority w:val="0"/>
  </w:style>
  <w:style w:type="paragraph" w:customStyle="1" w:styleId="17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paragraph" w:customStyle="1" w:styleId="18">
    <w:name w:val="msolistparagraph"/>
    <w:qFormat/>
    <w:uiPriority w:val="0"/>
    <w:pPr>
      <w:spacing w:after="200" w:line="276" w:lineRule="auto"/>
      <w:ind w:left="720"/>
    </w:pPr>
    <w:rPr>
      <w:rFonts w:ascii="Calibri" w:hAnsi="Calibri" w:eastAsia="Calibri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4E3C2-E924-4D8F-95A0-7CD25FABAF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840</Words>
  <Characters>4790</Characters>
  <Lines>39</Lines>
  <Paragraphs>11</Paragraphs>
  <TotalTime>2</TotalTime>
  <ScaleCrop>false</ScaleCrop>
  <LinksUpToDate>false</LinksUpToDate>
  <CharactersWithSpaces>5619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2019-02-18T08:19:00Z</dcterms:created>
  <dc:creator>Админ</dc:creator>
  <cp:lastModifiedBy>User</cp:lastModifiedBy>
  <cp:lastPrinted>2020-11-10T07:14:00Z</cp:lastPrinted>
  <dcterms:modified xsi:type="dcterms:W3CDTF">2022-06-02T06:36:54Z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EB77761DB39249B59DA6607432348D96</vt:lpwstr>
  </property>
</Properties>
</file>